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left"/>
        <w:rPr>
          <w:b w:val="1"/>
          <w:sz w:val="10"/>
          <w:szCs w:val="10"/>
        </w:rPr>
      </w:pPr>
      <w:r w:rsidDel="00000000" w:rsidR="00000000" w:rsidRPr="00000000">
        <w:rPr>
          <w:rtl w:val="0"/>
        </w:rPr>
      </w:r>
    </w:p>
    <w:tbl>
      <w:tblPr>
        <w:tblStyle w:val="Table1"/>
        <w:tblW w:w="1080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0800"/>
        <w:tblGridChange w:id="0">
          <w:tblGrid>
            <w:gridCol w:w="10800"/>
          </w:tblGrid>
        </w:tblGridChange>
      </w:tblGrid>
      <w:tr>
        <w:trPr>
          <w:cantSplit w:val="0"/>
          <w:tblHeader w:val="0"/>
        </w:trPr>
        <w:tc>
          <w:tcPr>
            <w:shd w:fill="000000" w:val="clear"/>
            <w:tcMar>
              <w:top w:w="100.0" w:type="dxa"/>
              <w:left w:w="100.0" w:type="dxa"/>
              <w:bottom w:w="100.0" w:type="dxa"/>
              <w:right w:w="100.0" w:type="dxa"/>
            </w:tcMar>
            <w:vAlign w:val="top"/>
          </w:tcPr>
          <w:p w:rsidR="00000000" w:rsidDel="00000000" w:rsidP="00000000" w:rsidRDefault="00000000" w:rsidRPr="00000000" w14:paraId="00000002">
            <w:pPr>
              <w:jc w:val="center"/>
              <w:rPr>
                <w:b w:val="1"/>
                <w:color w:val="ffffff"/>
                <w:sz w:val="60"/>
                <w:szCs w:val="60"/>
              </w:rPr>
            </w:pPr>
            <w:r w:rsidDel="00000000" w:rsidR="00000000" w:rsidRPr="00000000">
              <w:rPr>
                <w:b w:val="1"/>
                <w:color w:val="ffffff"/>
                <w:sz w:val="60"/>
                <w:szCs w:val="60"/>
                <w:rtl w:val="0"/>
              </w:rPr>
              <w:t xml:space="preserve">Workplace Violence Prevention Notice</w:t>
            </w:r>
          </w:p>
        </w:tc>
      </w:tr>
    </w:tbl>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jc w:val="center"/>
        <w:rPr>
          <w:b w:val="1"/>
          <w:sz w:val="34"/>
          <w:szCs w:val="34"/>
        </w:rPr>
      </w:pPr>
      <w:r w:rsidDel="00000000" w:rsidR="00000000" w:rsidRPr="00000000">
        <w:rPr>
          <w:b w:val="1"/>
          <w:sz w:val="34"/>
          <w:szCs w:val="34"/>
          <w:u w:val="single"/>
          <w:rtl w:val="0"/>
        </w:rPr>
        <w:t xml:space="preserve">Attention all staff</w:t>
      </w:r>
      <w:r w:rsidDel="00000000" w:rsidR="00000000" w:rsidRPr="00000000">
        <w:rPr>
          <w:b w:val="1"/>
          <w:sz w:val="34"/>
          <w:szCs w:val="34"/>
          <w:rtl w:val="0"/>
        </w:rPr>
        <w:t xml:space="preserve">:</w:t>
      </w:r>
    </w:p>
    <w:p w:rsidR="00000000" w:rsidDel="00000000" w:rsidP="00000000" w:rsidRDefault="00000000" w:rsidRPr="00000000" w14:paraId="00000005">
      <w:pPr>
        <w:jc w:val="both"/>
        <w:rPr>
          <w:sz w:val="28"/>
          <w:szCs w:val="28"/>
        </w:rPr>
      </w:pPr>
      <w:r w:rsidDel="00000000" w:rsidR="00000000" w:rsidRPr="00000000">
        <w:rPr>
          <w:sz w:val="28"/>
          <w:szCs w:val="28"/>
          <w:rtl w:val="0"/>
        </w:rPr>
        <w:t xml:space="preserve">The </w:t>
      </w:r>
      <w:r w:rsidDel="00000000" w:rsidR="00000000" w:rsidRPr="00000000">
        <w:rPr>
          <w:sz w:val="28"/>
          <w:szCs w:val="28"/>
          <w:highlight w:val="yellow"/>
          <w:rtl w:val="0"/>
        </w:rPr>
        <w:t xml:space="preserve">XX</w:t>
      </w:r>
      <w:r w:rsidDel="00000000" w:rsidR="00000000" w:rsidRPr="00000000">
        <w:rPr>
          <w:sz w:val="28"/>
          <w:szCs w:val="28"/>
          <w:rtl w:val="0"/>
        </w:rPr>
        <w:t xml:space="preserve"> School District takes maintaining a safe work environment and workplace violence prevention seriously.  Without fear of reprisal, employees are to report violent incidents, threats, or other workplace violence concerns to the employer contact below or law enforcement.</w:t>
      </w:r>
    </w:p>
    <w:p w:rsidR="00000000" w:rsidDel="00000000" w:rsidP="00000000" w:rsidRDefault="00000000" w:rsidRPr="00000000" w14:paraId="00000006">
      <w:pPr>
        <w:jc w:val="center"/>
        <w:rPr>
          <w:b w:val="1"/>
          <w:sz w:val="28"/>
          <w:szCs w:val="28"/>
        </w:rPr>
      </w:pPr>
      <w:r w:rsidDel="00000000" w:rsidR="00000000" w:rsidRPr="00000000">
        <w:rPr>
          <w:b w:val="1"/>
          <w:sz w:val="28"/>
          <w:szCs w:val="28"/>
          <w:rtl w:val="0"/>
        </w:rPr>
        <w:t xml:space="preserve">In an emergency, call 9-1-1.</w:t>
      </w:r>
    </w:p>
    <w:p w:rsidR="00000000" w:rsidDel="00000000" w:rsidP="00000000" w:rsidRDefault="00000000" w:rsidRPr="00000000" w14:paraId="00000007">
      <w:pPr>
        <w:jc w:val="center"/>
        <w:rPr>
          <w:b w:val="1"/>
          <w:sz w:val="28"/>
          <w:szCs w:val="28"/>
        </w:rPr>
      </w:pPr>
      <w:r w:rsidDel="00000000" w:rsidR="00000000" w:rsidRPr="00000000">
        <w:rPr>
          <w:rtl w:val="0"/>
        </w:rPr>
      </w:r>
    </w:p>
    <w:p w:rsidR="00000000" w:rsidDel="00000000" w:rsidP="00000000" w:rsidRDefault="00000000" w:rsidRPr="00000000" w14:paraId="00000008">
      <w:pPr>
        <w:spacing w:line="360" w:lineRule="auto"/>
        <w:rPr>
          <w:b w:val="1"/>
          <w:sz w:val="28"/>
          <w:szCs w:val="28"/>
        </w:rPr>
      </w:pPr>
      <w:r w:rsidDel="00000000" w:rsidR="00000000" w:rsidRPr="00000000">
        <w:rPr>
          <w:b w:val="1"/>
          <w:sz w:val="28"/>
          <w:szCs w:val="28"/>
          <w:rtl w:val="0"/>
        </w:rPr>
        <w:t xml:space="preserve">To report workplace violence, contact:</w:t>
      </w:r>
    </w:p>
    <w:tbl>
      <w:tblPr>
        <w:tblStyle w:val="Table2"/>
        <w:tblW w:w="1063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355"/>
        <w:gridCol w:w="8280"/>
        <w:tblGridChange w:id="0">
          <w:tblGrid>
            <w:gridCol w:w="2355"/>
            <w:gridCol w:w="8280"/>
          </w:tblGrid>
        </w:tblGridChange>
      </w:tblGrid>
      <w:tr>
        <w:trPr>
          <w:cantSplit w:val="0"/>
          <w:trHeight w:val="795" w:hRule="atLeast"/>
          <w:tblHeader w:val="0"/>
        </w:trPr>
        <w:tc>
          <w:tcPr>
            <w:tcBorders>
              <w:top w:color="000000" w:space="0" w:sz="6" w:val="single"/>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09">
            <w:pPr>
              <w:spacing w:before="240" w:lineRule="auto"/>
              <w:jc w:val="both"/>
              <w:rPr>
                <w:sz w:val="24"/>
                <w:szCs w:val="24"/>
                <w:highlight w:val="yellow"/>
              </w:rPr>
            </w:pPr>
            <w:r w:rsidDel="00000000" w:rsidR="00000000" w:rsidRPr="00000000">
              <w:rPr>
                <w:sz w:val="24"/>
                <w:szCs w:val="24"/>
                <w:highlight w:val="yellow"/>
                <w:rtl w:val="0"/>
              </w:rPr>
              <w:t xml:space="preserve">Name:</w:t>
            </w:r>
          </w:p>
        </w:tc>
        <w:tc>
          <w:tcPr>
            <w:tcBorders>
              <w:top w:color="000000" w:space="0" w:sz="6" w:val="single"/>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0A">
            <w:pPr>
              <w:spacing w:before="240" w:lineRule="auto"/>
              <w:jc w:val="both"/>
              <w:rPr>
                <w:sz w:val="24"/>
                <w:szCs w:val="24"/>
              </w:rPr>
            </w:pPr>
            <w:r w:rsidDel="00000000" w:rsidR="00000000" w:rsidRPr="00000000">
              <w:rPr>
                <w:sz w:val="24"/>
                <w:szCs w:val="24"/>
                <w:rtl w:val="0"/>
              </w:rPr>
              <w:t xml:space="preserve"> </w:t>
            </w:r>
          </w:p>
        </w:tc>
      </w:tr>
      <w:tr>
        <w:trPr>
          <w:cantSplit w:val="0"/>
          <w:trHeight w:val="795"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0B">
            <w:pPr>
              <w:spacing w:before="240" w:lineRule="auto"/>
              <w:jc w:val="both"/>
              <w:rPr>
                <w:sz w:val="24"/>
                <w:szCs w:val="24"/>
                <w:highlight w:val="yellow"/>
              </w:rPr>
            </w:pPr>
            <w:r w:rsidDel="00000000" w:rsidR="00000000" w:rsidRPr="00000000">
              <w:rPr>
                <w:sz w:val="24"/>
                <w:szCs w:val="24"/>
                <w:highlight w:val="yellow"/>
                <w:rtl w:val="0"/>
              </w:rPr>
              <w:t xml:space="preserve">Title:</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0C">
            <w:pPr>
              <w:spacing w:before="240" w:lineRule="auto"/>
              <w:jc w:val="both"/>
              <w:rPr>
                <w:sz w:val="24"/>
                <w:szCs w:val="24"/>
              </w:rPr>
            </w:pPr>
            <w:r w:rsidDel="00000000" w:rsidR="00000000" w:rsidRPr="00000000">
              <w:rPr>
                <w:sz w:val="24"/>
                <w:szCs w:val="24"/>
                <w:rtl w:val="0"/>
              </w:rPr>
              <w:t xml:space="preserve"> </w:t>
            </w:r>
          </w:p>
        </w:tc>
      </w:tr>
      <w:tr>
        <w:trPr>
          <w:cantSplit w:val="0"/>
          <w:trHeight w:val="795" w:hRule="atLeast"/>
          <w:tblHeader w:val="0"/>
        </w:trPr>
        <w:tc>
          <w:tcPr>
            <w:tcBorders>
              <w:top w:color="000000" w:space="0" w:sz="0" w:val="nil"/>
              <w:left w:color="000000" w:space="0" w:sz="6" w:val="single"/>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0D">
            <w:pPr>
              <w:spacing w:before="240" w:lineRule="auto"/>
              <w:jc w:val="both"/>
              <w:rPr>
                <w:sz w:val="24"/>
                <w:szCs w:val="24"/>
                <w:highlight w:val="yellow"/>
              </w:rPr>
            </w:pPr>
            <w:r w:rsidDel="00000000" w:rsidR="00000000" w:rsidRPr="00000000">
              <w:rPr>
                <w:sz w:val="24"/>
                <w:szCs w:val="24"/>
                <w:highlight w:val="yellow"/>
                <w:rtl w:val="0"/>
              </w:rPr>
              <w:t xml:space="preserve">Phone number:</w:t>
            </w:r>
          </w:p>
        </w:tc>
        <w:tc>
          <w:tcPr>
            <w:tcBorders>
              <w:top w:color="000000" w:space="0" w:sz="0" w:val="nil"/>
              <w:left w:color="000000" w:space="0" w:sz="0" w:val="nil"/>
              <w:bottom w:color="000000" w:space="0" w:sz="6" w:val="single"/>
              <w:right w:color="000000" w:space="0" w:sz="6" w:val="single"/>
            </w:tcBorders>
            <w:tcMar>
              <w:top w:w="0.0" w:type="dxa"/>
              <w:left w:w="100.0" w:type="dxa"/>
              <w:bottom w:w="0.0" w:type="dxa"/>
              <w:right w:w="100.0" w:type="dxa"/>
            </w:tcMar>
            <w:vAlign w:val="top"/>
          </w:tcPr>
          <w:p w:rsidR="00000000" w:rsidDel="00000000" w:rsidP="00000000" w:rsidRDefault="00000000" w:rsidRPr="00000000" w14:paraId="0000000E">
            <w:pPr>
              <w:spacing w:before="240" w:lineRule="auto"/>
              <w:jc w:val="both"/>
              <w:rPr>
                <w:sz w:val="24"/>
                <w:szCs w:val="24"/>
              </w:rPr>
            </w:pPr>
            <w:r w:rsidDel="00000000" w:rsidR="00000000" w:rsidRPr="00000000">
              <w:rPr>
                <w:sz w:val="24"/>
                <w:szCs w:val="24"/>
                <w:rtl w:val="0"/>
              </w:rPr>
              <w:t xml:space="preserve"> </w:t>
            </w:r>
          </w:p>
        </w:tc>
      </w:tr>
    </w:tbl>
    <w:p w:rsidR="00000000" w:rsidDel="00000000" w:rsidP="00000000" w:rsidRDefault="00000000" w:rsidRPr="00000000" w14:paraId="0000000F">
      <w:pPr>
        <w:rPr>
          <w:sz w:val="28"/>
          <w:szCs w:val="28"/>
        </w:rPr>
      </w:pPr>
      <w:r w:rsidDel="00000000" w:rsidR="00000000" w:rsidRPr="00000000">
        <w:rPr>
          <w:rtl w:val="0"/>
        </w:rPr>
      </w:r>
    </w:p>
    <w:p w:rsidR="00000000" w:rsidDel="00000000" w:rsidP="00000000" w:rsidRDefault="00000000" w:rsidRPr="00000000" w14:paraId="00000010">
      <w:pPr>
        <w:rPr>
          <w:sz w:val="28"/>
          <w:szCs w:val="28"/>
          <w:u w:val="single"/>
        </w:rPr>
      </w:pPr>
      <w:r w:rsidDel="00000000" w:rsidR="00000000" w:rsidRPr="00000000">
        <w:rPr>
          <w:sz w:val="28"/>
          <w:szCs w:val="28"/>
          <w:u w:val="single"/>
          <w:rtl w:val="0"/>
        </w:rPr>
        <w:t xml:space="preserve">Definitions:</w:t>
      </w:r>
    </w:p>
    <w:p w:rsidR="00000000" w:rsidDel="00000000" w:rsidP="00000000" w:rsidRDefault="00000000" w:rsidRPr="00000000" w14:paraId="00000011">
      <w:pPr>
        <w:spacing w:after="0" w:before="0" w:line="240" w:lineRule="auto"/>
        <w:rPr>
          <w:rFonts w:ascii="Calibri" w:cs="Calibri" w:eastAsia="Calibri" w:hAnsi="Calibri"/>
        </w:rPr>
      </w:pPr>
      <w:r w:rsidDel="00000000" w:rsidR="00000000" w:rsidRPr="00000000">
        <w:rPr>
          <w:rFonts w:ascii="Calibri" w:cs="Calibri" w:eastAsia="Calibri" w:hAnsi="Calibri"/>
          <w:rtl w:val="0"/>
        </w:rPr>
        <w:t xml:space="preserve">“Threat of violence” means any verbal or written statement, including, but not limited to, texts, electronic messages, social media messages, or other online posts, or any behavioral or physical conduct, that conveys an intent, or that is reasonably perceived to convey an intent, to cause physical harm or to place someone in fear of physical harm, and that serves no legitimate purpose.</w:t>
      </w:r>
    </w:p>
    <w:p w:rsidR="00000000" w:rsidDel="00000000" w:rsidP="00000000" w:rsidRDefault="00000000" w:rsidRPr="00000000" w14:paraId="00000012">
      <w:pPr>
        <w:spacing w:after="0" w:before="240" w:line="240" w:lineRule="auto"/>
        <w:rPr>
          <w:rFonts w:ascii="Calibri" w:cs="Calibri" w:eastAsia="Calibri" w:hAnsi="Calibri"/>
        </w:rPr>
      </w:pPr>
      <w:r w:rsidDel="00000000" w:rsidR="00000000" w:rsidRPr="00000000">
        <w:rPr>
          <w:rFonts w:ascii="Calibri" w:cs="Calibri" w:eastAsia="Calibri" w:hAnsi="Calibri"/>
          <w:rtl w:val="0"/>
        </w:rPr>
        <w:t xml:space="preserve">“Workplace violence” means any act of violence or threat of violence that occurs in a place of employment.</w:t>
      </w:r>
    </w:p>
    <w:p w:rsidR="00000000" w:rsidDel="00000000" w:rsidP="00000000" w:rsidRDefault="00000000" w:rsidRPr="00000000" w14:paraId="00000013">
      <w:pPr>
        <w:spacing w:after="0" w:before="240" w:line="240" w:lineRule="auto"/>
        <w:rPr>
          <w:rFonts w:ascii="Calibri" w:cs="Calibri" w:eastAsia="Calibri" w:hAnsi="Calibri"/>
        </w:rPr>
      </w:pPr>
      <w:r w:rsidDel="00000000" w:rsidR="00000000" w:rsidRPr="00000000">
        <w:rPr>
          <w:rFonts w:ascii="Calibri" w:cs="Calibri" w:eastAsia="Calibri" w:hAnsi="Calibri"/>
          <w:rtl w:val="0"/>
        </w:rPr>
        <w:t xml:space="preserve">“Workplace violence” includes, but is not limited to, the following:</w:t>
      </w:r>
    </w:p>
    <w:p w:rsidR="00000000" w:rsidDel="00000000" w:rsidP="00000000" w:rsidRDefault="00000000" w:rsidRPr="00000000" w14:paraId="00000014">
      <w:pPr>
        <w:spacing w:after="0" w:before="240" w:line="240" w:lineRule="auto"/>
        <w:rPr>
          <w:rFonts w:ascii="Calibri" w:cs="Calibri" w:eastAsia="Calibri" w:hAnsi="Calibri"/>
        </w:rPr>
      </w:pPr>
      <w:r w:rsidDel="00000000" w:rsidR="00000000" w:rsidRPr="00000000">
        <w:rPr>
          <w:rFonts w:ascii="Calibri" w:cs="Calibri" w:eastAsia="Calibri" w:hAnsi="Calibri"/>
          <w:rtl w:val="0"/>
        </w:rPr>
        <w:t xml:space="preserve">(i) The threat or use of physical force against an employee that results in, or has a high likelihood of resulting in, injury, psychological trauma, or stress, regardless of whether the employee sustains an injury.</w:t>
      </w:r>
    </w:p>
    <w:p w:rsidR="00000000" w:rsidDel="00000000" w:rsidP="00000000" w:rsidRDefault="00000000" w:rsidRPr="00000000" w14:paraId="00000015">
      <w:pPr>
        <w:spacing w:after="0" w:before="240" w:line="240" w:lineRule="auto"/>
        <w:rPr>
          <w:rFonts w:ascii="Calibri" w:cs="Calibri" w:eastAsia="Calibri" w:hAnsi="Calibri"/>
        </w:rPr>
      </w:pPr>
      <w:r w:rsidDel="00000000" w:rsidR="00000000" w:rsidRPr="00000000">
        <w:rPr>
          <w:rFonts w:ascii="Calibri" w:cs="Calibri" w:eastAsia="Calibri" w:hAnsi="Calibri"/>
          <w:rtl w:val="0"/>
        </w:rPr>
        <w:t xml:space="preserve">(ii) An incident involving a threat or use of a firearm or other dangerous weapon, including the use of common objects as weapons, regardless of whether the employee sustains an injury.</w:t>
      </w:r>
    </w:p>
    <w:p w:rsidR="00000000" w:rsidDel="00000000" w:rsidP="00000000" w:rsidRDefault="00000000" w:rsidRPr="00000000" w14:paraId="00000016">
      <w:pPr>
        <w:spacing w:after="0" w:before="240" w:line="240" w:lineRule="auto"/>
        <w:rPr>
          <w:rFonts w:ascii="Calibri" w:cs="Calibri" w:eastAsia="Calibri" w:hAnsi="Calibri"/>
        </w:rPr>
      </w:pPr>
      <w:r w:rsidDel="00000000" w:rsidR="00000000" w:rsidRPr="00000000">
        <w:rPr>
          <w:rFonts w:ascii="Calibri" w:cs="Calibri" w:eastAsia="Calibri" w:hAnsi="Calibri"/>
          <w:rtl w:val="0"/>
        </w:rPr>
        <w:t xml:space="preserve">(iii) The following four workplace violence types:</w:t>
      </w:r>
    </w:p>
    <w:p w:rsidR="00000000" w:rsidDel="00000000" w:rsidP="00000000" w:rsidRDefault="00000000" w:rsidRPr="00000000" w14:paraId="00000017">
      <w:pPr>
        <w:spacing w:after="0" w:before="240" w:line="240" w:lineRule="auto"/>
        <w:rPr>
          <w:rFonts w:ascii="Calibri" w:cs="Calibri" w:eastAsia="Calibri" w:hAnsi="Calibri"/>
        </w:rPr>
      </w:pPr>
      <w:r w:rsidDel="00000000" w:rsidR="00000000" w:rsidRPr="00000000">
        <w:rPr>
          <w:rFonts w:ascii="Calibri" w:cs="Calibri" w:eastAsia="Calibri" w:hAnsi="Calibri"/>
          <w:rtl w:val="0"/>
        </w:rPr>
        <w:t xml:space="preserve">(I) “Type 1 violence,” which means workplace violence committed by a person who has no legitimate business at the worksite, and includes violent acts by anyone who enters the workplace or approaches workers with the intent to commit a crime.</w:t>
      </w:r>
    </w:p>
    <w:p w:rsidR="00000000" w:rsidDel="00000000" w:rsidP="00000000" w:rsidRDefault="00000000" w:rsidRPr="00000000" w14:paraId="00000018">
      <w:pPr>
        <w:spacing w:after="0" w:before="240" w:line="240" w:lineRule="auto"/>
        <w:rPr>
          <w:rFonts w:ascii="Calibri" w:cs="Calibri" w:eastAsia="Calibri" w:hAnsi="Calibri"/>
        </w:rPr>
      </w:pPr>
      <w:r w:rsidDel="00000000" w:rsidR="00000000" w:rsidRPr="00000000">
        <w:rPr>
          <w:rFonts w:ascii="Calibri" w:cs="Calibri" w:eastAsia="Calibri" w:hAnsi="Calibri"/>
          <w:rtl w:val="0"/>
        </w:rPr>
        <w:t xml:space="preserve">(II) “Type 2 violence,” which means workplace violence directed at employees by customers, clients, patients, students, inmates, or visitors.</w:t>
      </w:r>
    </w:p>
    <w:p w:rsidR="00000000" w:rsidDel="00000000" w:rsidP="00000000" w:rsidRDefault="00000000" w:rsidRPr="00000000" w14:paraId="00000019">
      <w:pPr>
        <w:spacing w:after="0" w:before="240" w:line="240" w:lineRule="auto"/>
        <w:rPr>
          <w:rFonts w:ascii="Calibri" w:cs="Calibri" w:eastAsia="Calibri" w:hAnsi="Calibri"/>
        </w:rPr>
      </w:pPr>
      <w:r w:rsidDel="00000000" w:rsidR="00000000" w:rsidRPr="00000000">
        <w:rPr>
          <w:rFonts w:ascii="Calibri" w:cs="Calibri" w:eastAsia="Calibri" w:hAnsi="Calibri"/>
          <w:rtl w:val="0"/>
        </w:rPr>
        <w:t xml:space="preserve">(III) “Type 3 violence,” which means workplace violence against an employee by a present or former employee, supervisor, or manager.</w:t>
      </w:r>
    </w:p>
    <w:p w:rsidR="00000000" w:rsidDel="00000000" w:rsidP="00000000" w:rsidRDefault="00000000" w:rsidRPr="00000000" w14:paraId="0000001A">
      <w:pPr>
        <w:spacing w:after="0" w:before="240" w:line="240" w:lineRule="auto"/>
        <w:rPr>
          <w:rFonts w:ascii="Calibri" w:cs="Calibri" w:eastAsia="Calibri" w:hAnsi="Calibri"/>
        </w:rPr>
      </w:pPr>
      <w:r w:rsidDel="00000000" w:rsidR="00000000" w:rsidRPr="00000000">
        <w:rPr>
          <w:rFonts w:ascii="Calibri" w:cs="Calibri" w:eastAsia="Calibri" w:hAnsi="Calibri"/>
          <w:rtl w:val="0"/>
        </w:rPr>
        <w:t xml:space="preserve">(IV) “Type 4 violence,” which means workplace violence committed in the workplace by a person who does not work there, but has or is known to have had a personal relationship with an employee.</w:t>
      </w:r>
    </w:p>
    <w:p w:rsidR="00000000" w:rsidDel="00000000" w:rsidP="00000000" w:rsidRDefault="00000000" w:rsidRPr="00000000" w14:paraId="0000001B">
      <w:pPr>
        <w:spacing w:after="0" w:before="240" w:line="240" w:lineRule="auto"/>
        <w:rPr>
          <w:rFonts w:ascii="Calibri" w:cs="Calibri" w:eastAsia="Calibri" w:hAnsi="Calibri"/>
        </w:rPr>
      </w:pPr>
      <w:r w:rsidDel="00000000" w:rsidR="00000000" w:rsidRPr="00000000">
        <w:rPr>
          <w:rFonts w:ascii="Calibri" w:cs="Calibri" w:eastAsia="Calibri" w:hAnsi="Calibri"/>
          <w:rtl w:val="0"/>
        </w:rPr>
        <w:t xml:space="preserve">“Workplace violence” does not include lawful acts of self-defense or defense of others.</w:t>
      </w:r>
    </w:p>
    <w:p w:rsidR="00000000" w:rsidDel="00000000" w:rsidP="00000000" w:rsidRDefault="00000000" w:rsidRPr="00000000" w14:paraId="0000001C">
      <w:pPr>
        <w:rPr>
          <w:rFonts w:ascii="Calibri" w:cs="Calibri" w:eastAsia="Calibri" w:hAnsi="Calibri"/>
        </w:rPr>
      </w:pPr>
      <w:r w:rsidDel="00000000" w:rsidR="00000000" w:rsidRPr="00000000">
        <w:rPr>
          <w:rtl w:val="0"/>
        </w:rPr>
      </w:r>
    </w:p>
    <w:p w:rsidR="00000000" w:rsidDel="00000000" w:rsidP="00000000" w:rsidRDefault="00000000" w:rsidRPr="00000000" w14:paraId="0000001D">
      <w:pPr>
        <w:rPr>
          <w:rFonts w:ascii="Calibri" w:cs="Calibri" w:eastAsia="Calibri" w:hAnsi="Calibri"/>
          <w:highlight w:val="yellow"/>
        </w:rPr>
      </w:pPr>
      <w:r w:rsidDel="00000000" w:rsidR="00000000" w:rsidRPr="00000000">
        <w:rPr>
          <w:rFonts w:ascii="Calibri" w:cs="Calibri" w:eastAsia="Calibri" w:hAnsi="Calibri"/>
          <w:highlight w:val="yellow"/>
          <w:rtl w:val="0"/>
        </w:rPr>
        <w:t xml:space="preserve">A complete copy of the Workplace Violence Prevention Plan is located in the main office of each district location next to the Injury and Illness Prevention Program (IIPP).</w:t>
      </w:r>
    </w:p>
    <w:p w:rsidR="00000000" w:rsidDel="00000000" w:rsidP="00000000" w:rsidRDefault="00000000" w:rsidRPr="00000000" w14:paraId="0000001E">
      <w:pPr>
        <w:rPr>
          <w:rFonts w:ascii="Calibri" w:cs="Calibri" w:eastAsia="Calibri" w:hAnsi="Calibri"/>
          <w:highlight w:val="yellow"/>
        </w:rPr>
      </w:pPr>
      <w:r w:rsidDel="00000000" w:rsidR="00000000" w:rsidRPr="00000000">
        <w:rPr>
          <w:rtl w:val="0"/>
        </w:rPr>
      </w:r>
    </w:p>
    <w:p w:rsidR="00000000" w:rsidDel="00000000" w:rsidP="00000000" w:rsidRDefault="00000000" w:rsidRPr="00000000" w14:paraId="0000001F">
      <w:pPr>
        <w:rPr>
          <w:sz w:val="28"/>
          <w:szCs w:val="28"/>
        </w:rPr>
      </w:pPr>
      <w:r w:rsidDel="00000000" w:rsidR="00000000" w:rsidRPr="00000000">
        <w:rPr>
          <w:rtl w:val="0"/>
        </w:rPr>
      </w:r>
    </w:p>
    <w:p w:rsidR="00000000" w:rsidDel="00000000" w:rsidP="00000000" w:rsidRDefault="00000000" w:rsidRPr="00000000" w14:paraId="00000020">
      <w:pPr>
        <w:rPr>
          <w:sz w:val="28"/>
          <w:szCs w:val="28"/>
        </w:rPr>
      </w:pPr>
      <w:r w:rsidDel="00000000" w:rsidR="00000000" w:rsidRPr="00000000">
        <w:rPr>
          <w:rtl w:val="0"/>
        </w:rPr>
      </w:r>
    </w:p>
    <w:sectPr>
      <w:pgSz w:h="20160" w:w="12240" w:orient="portrait"/>
      <w:pgMar w:bottom="431.99999999999994" w:top="431.99999999999994" w:left="720" w:right="72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